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 xml:space="preserve">3GPP TSG-RAN WG2 Meeting #119-e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R2-220</w:t>
      </w:r>
      <w:r>
        <w:rPr>
          <w:rFonts w:hint="eastAsia" w:ascii="Arial" w:hAnsi="Arial" w:eastAsia="宋体" w:cs="Arial"/>
          <w:b/>
          <w:kern w:val="0"/>
          <w:sz w:val="22"/>
          <w:lang w:val="en-US" w:eastAsia="zh-CN"/>
        </w:rPr>
        <w:t>8448</w:t>
      </w:r>
    </w:p>
    <w:p>
      <w:pPr>
        <w:overflowPunct w:val="0"/>
        <w:autoSpaceDE w:val="0"/>
        <w:autoSpaceDN w:val="0"/>
        <w:adjustRightInd w:val="0"/>
        <w:jc w:val="left"/>
        <w:textAlignment w:val="baseline"/>
        <w:rPr>
          <w:rFonts w:ascii="Arial" w:hAnsi="Arial" w:eastAsia="宋体" w:cs="Arial"/>
          <w:b/>
          <w:bCs/>
          <w:kern w:val="0"/>
          <w:sz w:val="24"/>
          <w:szCs w:val="24"/>
          <w:lang w:val="en-GB"/>
        </w:rPr>
      </w:pPr>
      <w:r>
        <w:rPr>
          <w:rFonts w:ascii="Arial" w:hAnsi="Arial" w:eastAsia="宋体" w:cs="Arial"/>
          <w:b/>
          <w:bCs/>
          <w:kern w:val="0"/>
          <w:sz w:val="24"/>
          <w:szCs w:val="24"/>
          <w:lang w:val="en-GB"/>
        </w:rPr>
        <w:t>Electronic Meeting, 17 – 29 August, 2022</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hint="eastAsia"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ascii="Arial" w:hAnsi="Arial" w:eastAsia="宋体" w:cs="Arial"/>
          <w:b/>
          <w:bCs/>
          <w:kern w:val="0"/>
          <w:sz w:val="24"/>
          <w:szCs w:val="20"/>
          <w:lang w:val="en-GB"/>
        </w:rPr>
        <w:t>8.</w:t>
      </w:r>
      <w:r>
        <w:rPr>
          <w:rFonts w:hint="eastAsia" w:ascii="Arial" w:hAnsi="Arial" w:eastAsia="宋体" w:cs="Arial"/>
          <w:b/>
          <w:bCs/>
          <w:kern w:val="0"/>
          <w:sz w:val="24"/>
          <w:szCs w:val="20"/>
          <w:lang w:val="en-US" w:eastAsia="zh-CN"/>
        </w:rPr>
        <w:t>6</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2</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the </w:t>
      </w:r>
      <w:r>
        <w:rPr>
          <w:rFonts w:hint="eastAsia" w:ascii="Arial" w:hAnsi="Arial" w:eastAsia="宋体" w:cs="Arial"/>
          <w:b/>
          <w:bCs/>
          <w:kern w:val="0"/>
          <w:sz w:val="24"/>
          <w:szCs w:val="20"/>
          <w:lang w:val="en-US" w:eastAsia="zh-CN"/>
        </w:rPr>
        <w:t>performance enhancement for IoT-NTN</w:t>
      </w:r>
    </w:p>
    <w:p>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IoT_NTN_enh</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 and Decision</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1</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Introduction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In RAN#94</w:t>
      </w:r>
      <w:r>
        <w:rPr>
          <w:rFonts w:hint="eastAsia" w:ascii="Arial" w:hAnsi="Arial" w:eastAsia="宋体" w:cs="Arial"/>
          <w:kern w:val="0"/>
          <w:sz w:val="20"/>
          <w:szCs w:val="20"/>
          <w:lang w:val="en-GB"/>
        </w:rPr>
        <w:t>-e</w:t>
      </w:r>
      <w:r>
        <w:rPr>
          <w:rFonts w:ascii="Arial" w:hAnsi="Arial" w:eastAsia="宋体" w:cs="Arial"/>
          <w:kern w:val="0"/>
          <w:sz w:val="20"/>
          <w:szCs w:val="20"/>
          <w:lang w:val="en-GB" w:eastAsia="en-US"/>
        </w:rPr>
        <w:t xml:space="preserve">, a new </w:t>
      </w:r>
      <w:r>
        <w:rPr>
          <w:rFonts w:hint="eastAsia" w:ascii="Arial" w:hAnsi="Arial" w:eastAsia="宋体" w:cs="Arial"/>
          <w:kern w:val="0"/>
          <w:sz w:val="20"/>
          <w:szCs w:val="20"/>
          <w:lang w:val="en-US" w:eastAsia="zh-CN"/>
        </w:rPr>
        <w:t>W</w:t>
      </w:r>
      <w:r>
        <w:rPr>
          <w:rFonts w:ascii="Arial" w:hAnsi="Arial" w:eastAsia="宋体" w:cs="Arial"/>
          <w:kern w:val="0"/>
          <w:sz w:val="20"/>
          <w:szCs w:val="20"/>
          <w:lang w:val="en-GB" w:eastAsia="en-US"/>
        </w:rPr>
        <w:t xml:space="preserve">ID </w:t>
      </w:r>
      <w:r>
        <w:rPr>
          <w:rFonts w:hint="eastAsia" w:ascii="Arial" w:hAnsi="Arial" w:eastAsia="宋体" w:cs="Arial"/>
          <w:kern w:val="0"/>
          <w:sz w:val="20"/>
          <w:szCs w:val="20"/>
          <w:lang w:val="en-GB" w:eastAsia="en-US"/>
        </w:rPr>
        <w:t>IoT NTN enhancements</w:t>
      </w:r>
      <w:r>
        <w:rPr>
          <w:rFonts w:ascii="Arial" w:hAnsi="Arial" w:eastAsia="宋体" w:cs="Arial"/>
          <w:kern w:val="0"/>
          <w:sz w:val="20"/>
          <w:szCs w:val="20"/>
          <w:lang w:val="en-GB" w:eastAsia="en-US"/>
        </w:rPr>
        <w:t xml:space="preserve"> [1] was agreed, and one of the objectives is about </w:t>
      </w:r>
      <w:r>
        <w:rPr>
          <w:rFonts w:hint="eastAsia" w:ascii="Arial" w:hAnsi="Arial" w:eastAsia="宋体" w:cs="Arial"/>
          <w:kern w:val="0"/>
          <w:sz w:val="20"/>
          <w:szCs w:val="20"/>
          <w:lang w:val="en-US" w:eastAsia="zh-CN"/>
        </w:rPr>
        <w:t>performance enhancements</w:t>
      </w:r>
      <w:r>
        <w:rPr>
          <w:rFonts w:ascii="Arial" w:hAnsi="Arial" w:eastAsia="宋体" w:cs="Arial"/>
          <w:kern w:val="0"/>
          <w:sz w:val="20"/>
          <w:szCs w:val="20"/>
          <w:lang w:val="en-GB" w:eastAsia="en-US"/>
        </w:rPr>
        <w:t xml:space="preserve"> as following: </w:t>
      </w:r>
    </w:p>
    <w:tbl>
      <w:tblPr>
        <w:tblStyle w:val="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3" w:type="dxa"/>
          </w:tcPr>
          <w:p>
            <w:pPr>
              <w:keepNext w:val="0"/>
              <w:keepLines w:val="0"/>
              <w:pageBreakBefore w:val="0"/>
              <w:widowControl w:val="0"/>
              <w:kinsoku/>
              <w:wordWrap/>
              <w:overflowPunct/>
              <w:topLinePunct w:val="0"/>
              <w:autoSpaceDE/>
              <w:autoSpaceDN/>
              <w:bidi w:val="0"/>
              <w:adjustRightInd/>
              <w:snapToGrid/>
              <w:spacing w:after="120"/>
              <w:textAlignment w:val="auto"/>
              <w:rPr>
                <w:rFonts w:hint="default" w:ascii="Arial" w:hAnsi="Arial" w:cs="Arial"/>
                <w:sz w:val="20"/>
                <w:szCs w:val="20"/>
              </w:rPr>
            </w:pPr>
            <w:r>
              <w:rPr>
                <w:rFonts w:hint="default" w:ascii="Arial" w:hAnsi="Arial" w:cs="Arial"/>
                <w:sz w:val="20"/>
                <w:szCs w:val="20"/>
              </w:rPr>
              <w:t>4.1.1</w:t>
            </w:r>
            <w:r>
              <w:rPr>
                <w:rFonts w:hint="default" w:ascii="Arial" w:hAnsi="Arial" w:cs="Arial"/>
                <w:sz w:val="20"/>
                <w:szCs w:val="20"/>
              </w:rPr>
              <w:tab/>
            </w:r>
            <w:r>
              <w:rPr>
                <w:rFonts w:hint="default" w:ascii="Arial" w:hAnsi="Arial" w:cs="Arial"/>
                <w:sz w:val="20"/>
                <w:szCs w:val="20"/>
              </w:rPr>
              <w:t>IoT-NTN Performance Enhancements in Rel-18 to address remaining issues from Rel-17</w:t>
            </w:r>
          </w:p>
          <w:p>
            <w:pPr>
              <w:keepNext w:val="0"/>
              <w:keepLines w:val="0"/>
              <w:pageBreakBefore w:val="0"/>
              <w:widowControl w:val="0"/>
              <w:kinsoku/>
              <w:wordWrap/>
              <w:overflowPunct/>
              <w:topLinePunct w:val="0"/>
              <w:autoSpaceDE/>
              <w:autoSpaceDN/>
              <w:bidi w:val="0"/>
              <w:adjustRightInd/>
              <w:snapToGrid/>
              <w:spacing w:after="120"/>
              <w:textAlignment w:val="auto"/>
              <w:rPr>
                <w:rFonts w:hint="default" w:ascii="Arial" w:hAnsi="Arial" w:cs="Arial"/>
                <w:sz w:val="20"/>
                <w:szCs w:val="20"/>
              </w:rPr>
            </w:pPr>
            <w:r>
              <w:rPr>
                <w:rFonts w:hint="default" w:ascii="Arial" w:hAnsi="Arial" w:cs="Arial"/>
                <w:sz w:val="20"/>
                <w:szCs w:val="20"/>
              </w:rPr>
              <w:t>This work considers Rel-17 IoT-NTN as baseline as well as Rel-17 NR-NTN outcome and the further IoT-NTN performance enhancements objectives are listed below:</w:t>
            </w:r>
          </w:p>
          <w:p>
            <w:pPr>
              <w:pStyle w:val="14"/>
              <w:keepNext w:val="0"/>
              <w:keepLines w:val="0"/>
              <w:pageBreakBefore w:val="0"/>
              <w:widowControl w:val="0"/>
              <w:kinsoku/>
              <w:wordWrap/>
              <w:overflowPunct/>
              <w:topLinePunct w:val="0"/>
              <w:autoSpaceDE/>
              <w:autoSpaceDN/>
              <w:bidi w:val="0"/>
              <w:adjustRightInd/>
              <w:snapToGrid/>
              <w:spacing w:after="120"/>
              <w:textAlignment w:val="auto"/>
              <w:rPr>
                <w:rFonts w:hint="default" w:ascii="Arial" w:hAnsi="Arial" w:cs="Arial"/>
                <w:sz w:val="20"/>
                <w:szCs w:val="20"/>
              </w:rPr>
            </w:pPr>
            <w:r>
              <w:rPr>
                <w:rFonts w:hint="default" w:ascii="Arial" w:hAnsi="Arial" w:cs="Arial"/>
                <w:sz w:val="20"/>
                <w:szCs w:val="20"/>
              </w:rPr>
              <w:t>-</w:t>
            </w:r>
            <w:r>
              <w:rPr>
                <w:rFonts w:hint="default" w:ascii="Arial" w:hAnsi="Arial" w:cs="Arial"/>
                <w:sz w:val="20"/>
                <w:szCs w:val="20"/>
              </w:rPr>
              <w:tab/>
            </w:r>
            <w:r>
              <w:rPr>
                <w:rFonts w:hint="default" w:ascii="Arial" w:hAnsi="Arial" w:cs="Arial"/>
                <w:sz w:val="20"/>
                <w:szCs w:val="20"/>
              </w:rPr>
              <w:t>Disabling of HARQ feedback to mitigate impact of HARQ stalling on UE data rates [RAN1,RAN2]</w:t>
            </w:r>
          </w:p>
          <w:p>
            <w:pPr>
              <w:pStyle w:val="14"/>
              <w:keepNext w:val="0"/>
              <w:keepLines w:val="0"/>
              <w:pageBreakBefore w:val="0"/>
              <w:widowControl w:val="0"/>
              <w:kinsoku/>
              <w:wordWrap/>
              <w:overflowPunct/>
              <w:topLinePunct w:val="0"/>
              <w:autoSpaceDE/>
              <w:autoSpaceDN/>
              <w:bidi w:val="0"/>
              <w:adjustRightInd/>
              <w:snapToGrid/>
              <w:spacing w:after="120"/>
              <w:textAlignment w:val="auto"/>
              <w:rPr>
                <w:rFonts w:hint="default" w:ascii="Arial" w:hAnsi="Arial" w:cs="Arial"/>
                <w:sz w:val="20"/>
                <w:szCs w:val="20"/>
              </w:rPr>
            </w:pPr>
            <w:r>
              <w:rPr>
                <w:rFonts w:hint="default" w:ascii="Arial" w:hAnsi="Arial" w:cs="Arial"/>
                <w:sz w:val="20"/>
                <w:szCs w:val="20"/>
              </w:rPr>
              <w:t>-</w:t>
            </w:r>
            <w:r>
              <w:rPr>
                <w:rFonts w:hint="default" w:ascii="Arial" w:hAnsi="Arial" w:cs="Arial"/>
                <w:sz w:val="20"/>
                <w:szCs w:val="20"/>
              </w:rPr>
              <w:tab/>
            </w:r>
            <w:r>
              <w:rPr>
                <w:rFonts w:hint="default" w:ascii="Arial" w:hAnsi="Arial" w:cs="Arial"/>
                <w:sz w:val="20"/>
                <w:szCs w:val="20"/>
              </w:rPr>
              <w:t xml:space="preserve">Study and specify, if needed, improved GNSS operations for a new position fix for UE pre-compensation during long connection times and for reduced power consumption. </w:t>
            </w:r>
            <w:r>
              <w:rPr>
                <w:rFonts w:hint="default" w:ascii="Arial" w:hAnsi="Arial" w:cs="Arial"/>
                <w:sz w:val="20"/>
                <w:szCs w:val="20"/>
                <w:lang w:eastAsia="zh-CN"/>
              </w:rPr>
              <w:t>Simultaneous GNSS and NTN NB-IoT/eMTC operation is not assumed.</w:t>
            </w:r>
            <w:r>
              <w:rPr>
                <w:rFonts w:hint="default" w:ascii="Arial" w:hAnsi="Arial" w:cs="Arial"/>
                <w:sz w:val="20"/>
                <w:szCs w:val="20"/>
              </w:rPr>
              <w:t xml:space="preserve"> [RAN1]</w:t>
            </w:r>
          </w:p>
          <w:p>
            <w:pPr>
              <w:pStyle w:val="14"/>
              <w:keepNext w:val="0"/>
              <w:keepLines w:val="0"/>
              <w:pageBreakBefore w:val="0"/>
              <w:widowControl w:val="0"/>
              <w:numPr>
                <w:ilvl w:val="0"/>
                <w:numId w:val="1"/>
              </w:numPr>
              <w:kinsoku/>
              <w:wordWrap/>
              <w:overflowPunct/>
              <w:topLinePunct w:val="0"/>
              <w:autoSpaceDE/>
              <w:autoSpaceDN/>
              <w:bidi w:val="0"/>
              <w:adjustRightInd/>
              <w:snapToGrid/>
              <w:spacing w:after="120"/>
              <w:ind w:left="1077" w:hanging="357"/>
              <w:textAlignment w:val="auto"/>
              <w:rPr>
                <w:rFonts w:ascii="Times New Roman" w:hAnsi="Times New Roman" w:eastAsia="宋体" w:cs="Times New Roman"/>
                <w:kern w:val="0"/>
                <w:sz w:val="20"/>
                <w:szCs w:val="20"/>
                <w:lang w:val="en-GB" w:eastAsia="en-GB"/>
              </w:rPr>
            </w:pPr>
            <w:r>
              <w:rPr>
                <w:rFonts w:hint="default" w:ascii="Arial" w:hAnsi="Arial" w:cs="Arial"/>
                <w:i/>
                <w:sz w:val="20"/>
                <w:szCs w:val="20"/>
              </w:rPr>
              <w:t>NOTE: The need for RAN4 Core requirements for this objective will be identified after the conclusion on the need for improvements.</w:t>
            </w:r>
          </w:p>
        </w:tc>
      </w:tr>
    </w:tbl>
    <w:p>
      <w:pPr>
        <w:widowControl/>
        <w:spacing w:after="180"/>
        <w:rPr>
          <w:rFonts w:ascii="Arial" w:hAnsi="Arial" w:eastAsia="宋体" w:cs="Arial"/>
          <w:kern w:val="0"/>
          <w:sz w:val="20"/>
          <w:szCs w:val="20"/>
          <w:lang w:val="en-GB"/>
        </w:rPr>
      </w:pPr>
      <w:r>
        <w:rPr>
          <w:rFonts w:ascii="Arial" w:hAnsi="Arial" w:eastAsia="宋体" w:cs="Arial"/>
          <w:kern w:val="0"/>
          <w:sz w:val="20"/>
          <w:szCs w:val="20"/>
          <w:lang w:val="en-GB"/>
        </w:rPr>
        <w:t xml:space="preserve">This contribution will discuss the potential </w:t>
      </w:r>
      <w:r>
        <w:rPr>
          <w:rFonts w:hint="eastAsia" w:ascii="Arial" w:hAnsi="Arial" w:eastAsia="宋体" w:cs="Arial"/>
          <w:kern w:val="0"/>
          <w:sz w:val="20"/>
          <w:szCs w:val="20"/>
          <w:lang w:val="en-US" w:eastAsia="zh-CN"/>
        </w:rPr>
        <w:t>performance enhancements for IoT-NTN</w:t>
      </w:r>
      <w:r>
        <w:rPr>
          <w:rFonts w:ascii="Arial" w:hAnsi="Arial" w:eastAsia="宋体" w:cs="Arial"/>
          <w:kern w:val="0"/>
          <w:sz w:val="20"/>
          <w:szCs w:val="20"/>
          <w:lang w:val="en-GB"/>
        </w:rPr>
        <w:t>.</w:t>
      </w:r>
    </w:p>
    <w:p>
      <w:pPr>
        <w:keepNext/>
        <w:keepLines/>
        <w:widowControl/>
        <w:numPr>
          <w:ilvl w:val="0"/>
          <w:numId w:val="2"/>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Discussion</w:t>
      </w:r>
    </w:p>
    <w:p>
      <w:pPr>
        <w:widowControl/>
        <w:spacing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In RAN1#109-e, RAN1 has discussed the scenarios of disabling on HARQ feedback and the configuration/indication of enabling/disabling on HARQ feedback for downlink transmission, and achieved the following agreements:</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val="0"/>
              <w:kinsoku/>
              <w:wordWrap/>
              <w:overflowPunct/>
              <w:topLinePunct w:val="0"/>
              <w:autoSpaceDE/>
              <w:autoSpaceDN/>
              <w:bidi w:val="0"/>
              <w:adjustRightInd/>
              <w:snapToGrid/>
              <w:spacing w:before="0" w:beforeAutospacing="0" w:after="120"/>
              <w:textAlignment w:val="auto"/>
              <w:rPr>
                <w:rFonts w:hint="default" w:ascii="Arial" w:hAnsi="Arial" w:cs="Arial"/>
                <w:b/>
                <w:bCs/>
                <w:sz w:val="20"/>
                <w:szCs w:val="20"/>
              </w:rPr>
            </w:pPr>
            <w:r>
              <w:rPr>
                <w:rFonts w:hint="default" w:ascii="Arial" w:hAnsi="Arial" w:cs="Arial"/>
                <w:b/>
                <w:bCs/>
                <w:sz w:val="20"/>
                <w:szCs w:val="20"/>
                <w:highlight w:val="green"/>
              </w:rPr>
              <w:t>Agreement</w:t>
            </w:r>
          </w:p>
          <w:p>
            <w:pPr>
              <w:keepNext w:val="0"/>
              <w:keepLines w:val="0"/>
              <w:pageBreakBefore w:val="0"/>
              <w:widowControl w:val="0"/>
              <w:kinsoku/>
              <w:wordWrap/>
              <w:overflowPunct/>
              <w:topLinePunct w:val="0"/>
              <w:autoSpaceDE/>
              <w:autoSpaceDN/>
              <w:bidi w:val="0"/>
              <w:adjustRightInd/>
              <w:snapToGrid/>
              <w:spacing w:before="0" w:beforeAutospacing="0" w:after="120"/>
              <w:textAlignment w:val="auto"/>
              <w:rPr>
                <w:rFonts w:hint="default" w:ascii="Arial" w:hAnsi="Arial" w:cs="Arial"/>
                <w:sz w:val="20"/>
                <w:szCs w:val="20"/>
              </w:rPr>
            </w:pPr>
            <w:r>
              <w:rPr>
                <w:rFonts w:hint="default" w:ascii="Arial" w:hAnsi="Arial" w:cs="Arial"/>
                <w:color w:val="000000"/>
                <w:sz w:val="20"/>
                <w:szCs w:val="20"/>
              </w:rPr>
              <w:t xml:space="preserve">For IoT NTN, to configure/indicate </w:t>
            </w:r>
            <w:r>
              <w:rPr>
                <w:rFonts w:hint="default" w:ascii="Arial" w:hAnsi="Arial" w:cs="Arial"/>
                <w:sz w:val="20"/>
                <w:szCs w:val="20"/>
              </w:rPr>
              <w:t>enabling/disabling on HARQ feedback for downlink transmission, one or more of the following options can be considered:</w:t>
            </w:r>
          </w:p>
          <w:p>
            <w:pPr>
              <w:pStyle w:val="13"/>
              <w:keepNext w:val="0"/>
              <w:keepLines w:val="0"/>
              <w:pageBreakBefore w:val="0"/>
              <w:widowControl w:val="0"/>
              <w:numPr>
                <w:ilvl w:val="0"/>
                <w:numId w:val="3"/>
              </w:numPr>
              <w:kinsoku/>
              <w:wordWrap/>
              <w:overflowPunct/>
              <w:topLinePunct w:val="0"/>
              <w:autoSpaceDE/>
              <w:autoSpaceDN/>
              <w:bidi w:val="0"/>
              <w:adjustRightInd/>
              <w:snapToGrid/>
              <w:spacing w:before="0" w:beforeAutospacing="0" w:after="120"/>
              <w:ind w:left="510" w:leftChars="100" w:hanging="300" w:hangingChars="150"/>
              <w:textAlignment w:val="auto"/>
              <w:rPr>
                <w:rFonts w:hint="default" w:ascii="Arial" w:hAnsi="Arial" w:eastAsia="MS PGothic" w:cs="Arial"/>
                <w:sz w:val="20"/>
                <w:szCs w:val="20"/>
                <w:lang w:eastAsia="ja-JP"/>
              </w:rPr>
            </w:pPr>
            <w:r>
              <w:rPr>
                <w:rFonts w:hint="default" w:ascii="Arial" w:hAnsi="Arial" w:eastAsia="MS PGothic" w:cs="Arial"/>
                <w:sz w:val="20"/>
                <w:szCs w:val="20"/>
                <w:lang w:eastAsia="ja-JP"/>
              </w:rPr>
              <w:t>Option 1: per HARQ process via UE specific RRC signaling</w:t>
            </w:r>
          </w:p>
          <w:p>
            <w:pPr>
              <w:pStyle w:val="13"/>
              <w:keepNext w:val="0"/>
              <w:keepLines w:val="0"/>
              <w:pageBreakBefore w:val="0"/>
              <w:widowControl w:val="0"/>
              <w:numPr>
                <w:ilvl w:val="0"/>
                <w:numId w:val="3"/>
              </w:numPr>
              <w:kinsoku/>
              <w:wordWrap/>
              <w:overflowPunct/>
              <w:topLinePunct w:val="0"/>
              <w:autoSpaceDE/>
              <w:autoSpaceDN/>
              <w:bidi w:val="0"/>
              <w:adjustRightInd/>
              <w:snapToGrid/>
              <w:spacing w:before="0" w:beforeAutospacing="0" w:after="120"/>
              <w:ind w:left="510" w:leftChars="100" w:hanging="300" w:hangingChars="150"/>
              <w:textAlignment w:val="auto"/>
              <w:rPr>
                <w:rFonts w:hint="default" w:ascii="Arial" w:hAnsi="Arial" w:eastAsia="MS PGothic" w:cs="Arial"/>
                <w:sz w:val="20"/>
                <w:szCs w:val="20"/>
                <w:lang w:eastAsia="ja-JP"/>
              </w:rPr>
            </w:pPr>
            <w:r>
              <w:rPr>
                <w:rFonts w:hint="default" w:ascii="Arial" w:hAnsi="Arial" w:eastAsia="MS PGothic" w:cs="Arial"/>
                <w:sz w:val="20"/>
                <w:szCs w:val="20"/>
                <w:lang w:eastAsia="ja-JP"/>
              </w:rPr>
              <w:t>Option 2: per HARQ process via SIB signaling</w:t>
            </w:r>
          </w:p>
          <w:p>
            <w:pPr>
              <w:pStyle w:val="13"/>
              <w:keepNext w:val="0"/>
              <w:keepLines w:val="0"/>
              <w:pageBreakBefore w:val="0"/>
              <w:widowControl w:val="0"/>
              <w:numPr>
                <w:ilvl w:val="0"/>
                <w:numId w:val="3"/>
              </w:numPr>
              <w:kinsoku/>
              <w:wordWrap/>
              <w:overflowPunct/>
              <w:topLinePunct w:val="0"/>
              <w:autoSpaceDE/>
              <w:autoSpaceDN/>
              <w:bidi w:val="0"/>
              <w:adjustRightInd/>
              <w:snapToGrid/>
              <w:spacing w:before="0" w:beforeAutospacing="0" w:after="120"/>
              <w:ind w:left="510" w:leftChars="100" w:hanging="300" w:hangingChars="150"/>
              <w:textAlignment w:val="auto"/>
              <w:rPr>
                <w:rFonts w:hint="default" w:ascii="Arial" w:hAnsi="Arial" w:eastAsia="MS PGothic" w:cs="Arial"/>
                <w:sz w:val="20"/>
                <w:szCs w:val="20"/>
                <w:lang w:eastAsia="ja-JP"/>
              </w:rPr>
            </w:pPr>
            <w:r>
              <w:rPr>
                <w:rFonts w:hint="default" w:ascii="Arial" w:hAnsi="Arial" w:eastAsia="MS PGothic" w:cs="Arial"/>
                <w:sz w:val="20"/>
                <w:szCs w:val="20"/>
                <w:lang w:eastAsia="ja-JP"/>
              </w:rPr>
              <w:t>Option 3: explicitly indicated by DCI (e.g., new field or reusing existing field)</w:t>
            </w:r>
          </w:p>
          <w:p>
            <w:pPr>
              <w:pStyle w:val="13"/>
              <w:keepNext w:val="0"/>
              <w:keepLines w:val="0"/>
              <w:pageBreakBefore w:val="0"/>
              <w:widowControl w:val="0"/>
              <w:numPr>
                <w:ilvl w:val="0"/>
                <w:numId w:val="3"/>
              </w:numPr>
              <w:kinsoku/>
              <w:wordWrap/>
              <w:overflowPunct/>
              <w:topLinePunct w:val="0"/>
              <w:autoSpaceDE/>
              <w:autoSpaceDN/>
              <w:bidi w:val="0"/>
              <w:adjustRightInd/>
              <w:snapToGrid/>
              <w:spacing w:before="0" w:beforeAutospacing="0" w:after="120"/>
              <w:ind w:left="510" w:leftChars="100" w:hanging="300" w:hangingChars="150"/>
              <w:textAlignment w:val="auto"/>
              <w:rPr>
                <w:rFonts w:hint="default" w:ascii="Arial" w:hAnsi="Arial" w:eastAsia="MS PGothic" w:cs="Arial"/>
                <w:sz w:val="20"/>
                <w:szCs w:val="20"/>
                <w:lang w:eastAsia="ja-JP"/>
              </w:rPr>
            </w:pPr>
            <w:r>
              <w:rPr>
                <w:rFonts w:hint="default" w:ascii="Arial" w:hAnsi="Arial" w:eastAsia="MS PGothic" w:cs="Arial"/>
                <w:sz w:val="20"/>
                <w:szCs w:val="20"/>
                <w:lang w:eastAsia="ja-JP"/>
              </w:rPr>
              <w:t>Option 4: implicitly determined by existing configured/indicated parameter(s) (e.g., repetition number, TBS)</w:t>
            </w:r>
          </w:p>
          <w:p>
            <w:pPr>
              <w:pStyle w:val="13"/>
              <w:keepNext w:val="0"/>
              <w:keepLines w:val="0"/>
              <w:pageBreakBefore w:val="0"/>
              <w:widowControl w:val="0"/>
              <w:numPr>
                <w:ilvl w:val="0"/>
                <w:numId w:val="3"/>
              </w:numPr>
              <w:kinsoku/>
              <w:wordWrap/>
              <w:overflowPunct/>
              <w:topLinePunct w:val="0"/>
              <w:autoSpaceDE/>
              <w:autoSpaceDN/>
              <w:bidi w:val="0"/>
              <w:adjustRightInd/>
              <w:snapToGrid/>
              <w:spacing w:before="0" w:beforeAutospacing="0" w:after="120"/>
              <w:ind w:left="510" w:leftChars="100" w:hanging="300" w:hangingChars="150"/>
              <w:textAlignment w:val="auto"/>
              <w:rPr>
                <w:rFonts w:hint="default" w:ascii="Arial" w:hAnsi="Arial" w:eastAsia="MS PGothic" w:cs="Arial"/>
                <w:sz w:val="20"/>
                <w:szCs w:val="20"/>
                <w:lang w:eastAsia="ja-JP"/>
              </w:rPr>
            </w:pPr>
            <w:r>
              <w:rPr>
                <w:rFonts w:hint="default" w:ascii="Arial" w:hAnsi="Arial" w:eastAsia="MS PGothic" w:cs="Arial"/>
                <w:sz w:val="20"/>
                <w:szCs w:val="20"/>
                <w:lang w:eastAsia="ja-JP"/>
              </w:rPr>
              <w:t>Option 5: per HARQ process via MAC CE</w:t>
            </w:r>
          </w:p>
          <w:p>
            <w:pPr>
              <w:pStyle w:val="13"/>
              <w:keepNext w:val="0"/>
              <w:keepLines w:val="0"/>
              <w:pageBreakBefore w:val="0"/>
              <w:widowControl w:val="0"/>
              <w:numPr>
                <w:ilvl w:val="0"/>
                <w:numId w:val="3"/>
              </w:numPr>
              <w:kinsoku/>
              <w:wordWrap/>
              <w:overflowPunct/>
              <w:topLinePunct w:val="0"/>
              <w:autoSpaceDE/>
              <w:autoSpaceDN/>
              <w:bidi w:val="0"/>
              <w:adjustRightInd/>
              <w:snapToGrid/>
              <w:spacing w:before="0" w:beforeAutospacing="0" w:after="120"/>
              <w:ind w:left="510" w:leftChars="100" w:hanging="300" w:hangingChars="150"/>
              <w:textAlignment w:val="auto"/>
              <w:rPr>
                <w:rFonts w:hint="default" w:ascii="Arial" w:hAnsi="Arial" w:eastAsia="MS PGothic" w:cs="Arial"/>
                <w:sz w:val="20"/>
                <w:szCs w:val="20"/>
                <w:lang w:eastAsia="ja-JP"/>
              </w:rPr>
            </w:pPr>
            <w:r>
              <w:rPr>
                <w:rFonts w:hint="default" w:ascii="Arial" w:hAnsi="Arial" w:eastAsia="MS PGothic" w:cs="Arial"/>
                <w:sz w:val="20"/>
                <w:szCs w:val="20"/>
                <w:lang w:eastAsia="ja-JP"/>
              </w:rPr>
              <w:t>Other options or combinations are not excluded</w:t>
            </w:r>
          </w:p>
          <w:p>
            <w:pPr>
              <w:keepNext w:val="0"/>
              <w:keepLines w:val="0"/>
              <w:pageBreakBefore w:val="0"/>
              <w:widowControl w:val="0"/>
              <w:kinsoku/>
              <w:wordWrap/>
              <w:overflowPunct/>
              <w:topLinePunct w:val="0"/>
              <w:autoSpaceDE/>
              <w:autoSpaceDN/>
              <w:bidi w:val="0"/>
              <w:adjustRightInd/>
              <w:snapToGrid/>
              <w:spacing w:before="0" w:beforeAutospacing="0" w:after="120"/>
              <w:textAlignment w:val="auto"/>
              <w:rPr>
                <w:rFonts w:hint="default" w:ascii="Arial" w:hAnsi="Arial" w:eastAsia="宋体" w:cs="Arial"/>
                <w:kern w:val="0"/>
                <w:sz w:val="20"/>
                <w:szCs w:val="20"/>
                <w:vertAlign w:val="baseline"/>
                <w:lang w:val="en-US" w:eastAsia="zh-CN"/>
              </w:rPr>
            </w:pPr>
            <w:r>
              <w:rPr>
                <w:rFonts w:hint="default" w:ascii="Arial" w:hAnsi="Arial" w:cs="Arial"/>
                <w:sz w:val="20"/>
                <w:szCs w:val="20"/>
              </w:rPr>
              <w:t>Note: Option(s) for eMTC and NBIoT can be separately discussed.</w:t>
            </w:r>
          </w:p>
        </w:tc>
      </w:tr>
    </w:tbl>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For the configuration/indication of enabling/disabling on HARQ feedback, RAN1 discussed at least five potential options and have no consensus in last meeting, and will continue to discuss this issue next meeting.</w:t>
      </w:r>
    </w:p>
    <w:p>
      <w:pPr>
        <w:widowControl/>
        <w:spacing w:after="180"/>
        <w:rPr>
          <w:rFonts w:hint="default" w:ascii="Arial" w:hAnsi="Arial" w:eastAsia="MS Mincho" w:cs="Arial"/>
          <w:b/>
          <w:szCs w:val="24"/>
          <w:lang w:eastAsia="en-GB"/>
        </w:rPr>
      </w:pPr>
      <w:r>
        <w:rPr>
          <w:rFonts w:hint="eastAsia" w:ascii="Arial" w:hAnsi="Arial" w:eastAsia="宋体" w:cs="Arial"/>
          <w:kern w:val="0"/>
          <w:sz w:val="20"/>
          <w:szCs w:val="20"/>
          <w:lang w:val="en-US" w:eastAsia="zh-CN"/>
        </w:rPr>
        <w:t>During study phase for R16 NR NTN, RAN2 has discussed the enabling/disabling HARQ for NTN. It is obvious that disabling HARQ feedback will increase the residual Block Error Rate since re-transmissions based on HARQ feedback are not possible anymore. For robustness and to minimize the need of RLC AM re-transmission, the target BLER of the first transmission should be reduced. One of the methods specified in R15 are blind HARQ (re)transmissions, meaning the transmission of a transport block within a bundle. This method can be reused for NTN, i.e., blind HARQ (re)transmissions should still be supported by NTN especially if HARQ feedback is disabled. The related agreements are as follows:</w:t>
      </w:r>
    </w:p>
    <w:p>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after="120"/>
        <w:textAlignment w:val="auto"/>
        <w:rPr>
          <w:rFonts w:hint="default" w:ascii="Arial" w:hAnsi="Arial" w:eastAsia="MS Mincho" w:cs="Arial"/>
          <w:b/>
          <w:sz w:val="20"/>
          <w:szCs w:val="22"/>
          <w:lang w:eastAsia="en-GB"/>
        </w:rPr>
      </w:pPr>
      <w:r>
        <w:rPr>
          <w:rFonts w:hint="eastAsia" w:ascii="Arial" w:hAnsi="Arial" w:eastAsia="宋体" w:cs="Arial"/>
          <w:b/>
          <w:sz w:val="20"/>
          <w:szCs w:val="22"/>
          <w:lang w:val="en-US" w:eastAsia="zh-CN"/>
        </w:rPr>
        <w:t xml:space="preserve">RAN2#106 </w:t>
      </w:r>
      <w:r>
        <w:rPr>
          <w:rFonts w:hint="default" w:ascii="Arial" w:hAnsi="Arial" w:eastAsia="MS Mincho" w:cs="Arial"/>
          <w:b/>
          <w:sz w:val="20"/>
          <w:szCs w:val="22"/>
          <w:lang w:eastAsia="en-GB"/>
        </w:rPr>
        <w:t xml:space="preserve">Agreements </w:t>
      </w:r>
    </w:p>
    <w:p>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before="60" w:after="120"/>
        <w:textAlignment w:val="auto"/>
        <w:rPr>
          <w:rFonts w:hint="default" w:ascii="Arial" w:hAnsi="Arial" w:eastAsia="MS Mincho" w:cs="Arial"/>
          <w:sz w:val="20"/>
          <w:szCs w:val="22"/>
          <w:lang w:eastAsia="en-GB"/>
        </w:rPr>
      </w:pPr>
      <w:r>
        <w:rPr>
          <w:rFonts w:hint="default" w:ascii="Arial" w:hAnsi="Arial" w:eastAsia="MS Mincho" w:cs="Arial"/>
          <w:sz w:val="20"/>
          <w:szCs w:val="22"/>
          <w:lang w:eastAsia="en-GB"/>
        </w:rPr>
        <w:t xml:space="preserve">1. If HARQ feedback is disabled, blind HARQ (re)transmissions are still possible to improve robustness.  What blind HARQ retransmissions mean will be captured in email discussion.  </w:t>
      </w:r>
    </w:p>
    <w:p>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before="60" w:after="120"/>
        <w:textAlignment w:val="auto"/>
        <w:rPr>
          <w:rFonts w:hint="default" w:ascii="Arial" w:hAnsi="Arial" w:eastAsia="MS Mincho" w:cs="Arial"/>
          <w:sz w:val="20"/>
          <w:szCs w:val="22"/>
          <w:lang w:eastAsia="en-GB"/>
        </w:rPr>
      </w:pPr>
      <w:r>
        <w:rPr>
          <w:rFonts w:hint="default" w:ascii="Arial" w:hAnsi="Arial" w:eastAsia="MS Mincho" w:cs="Arial"/>
          <w:sz w:val="20"/>
          <w:szCs w:val="22"/>
          <w:lang w:eastAsia="en-GB"/>
        </w:rPr>
        <w:t xml:space="preserve">2. Even if HARQ feedback is disabled, the HARQ processes are still configured. </w:t>
      </w:r>
    </w:p>
    <w:p>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before="60" w:after="120"/>
        <w:textAlignment w:val="auto"/>
        <w:rPr>
          <w:rFonts w:hint="default" w:ascii="Arial" w:hAnsi="Arial" w:eastAsia="MS Mincho" w:cs="Arial"/>
          <w:sz w:val="20"/>
          <w:szCs w:val="22"/>
          <w:lang w:eastAsia="en-GB"/>
        </w:rPr>
      </w:pPr>
      <w:r>
        <w:rPr>
          <w:rFonts w:hint="default" w:ascii="Arial" w:hAnsi="Arial" w:eastAsia="MS Mincho" w:cs="Arial"/>
          <w:sz w:val="20"/>
          <w:szCs w:val="22"/>
          <w:lang w:eastAsia="en-GB"/>
        </w:rPr>
        <w:t xml:space="preserve">3. Enabling / disabling of HARQ feedback is a network decision. </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RAN2 also discussed on how the HARQ disabling will be configured, per cell or per UE, per HARQ process pr per logical channel. RAN2 agreed that the enabling/disabling of HARQ feedback can be configurable on a per UE and per HARQ process basis via RRC signaling. In addition, RAN2 studied scheduling of multiple transmissions of the same TB. The related agreemen</w:t>
      </w:r>
      <w:bookmarkStart w:id="0" w:name="_GoBack"/>
      <w:bookmarkEnd w:id="0"/>
      <w:r>
        <w:rPr>
          <w:rFonts w:hint="eastAsia" w:ascii="Arial" w:hAnsi="Arial" w:eastAsia="宋体" w:cs="Arial"/>
          <w:kern w:val="0"/>
          <w:sz w:val="20"/>
          <w:szCs w:val="20"/>
          <w:lang w:val="en-US" w:eastAsia="zh-CN"/>
        </w:rPr>
        <w:t>ts are as follows:</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0" w:after="120"/>
              <w:textAlignment w:val="auto"/>
              <w:rPr>
                <w:rFonts w:hint="default" w:ascii="Arial" w:hAnsi="Arial" w:eastAsia="宋体" w:cs="Arial"/>
                <w:kern w:val="0"/>
                <w:sz w:val="20"/>
                <w:szCs w:val="20"/>
                <w:lang w:val="en-US" w:eastAsia="zh-CN"/>
              </w:rPr>
            </w:pPr>
            <w:r>
              <w:rPr>
                <w:rFonts w:hint="eastAsia" w:ascii="Arial" w:hAnsi="Arial" w:eastAsia="宋体" w:cs="Arial"/>
                <w:b/>
                <w:sz w:val="20"/>
                <w:szCs w:val="22"/>
                <w:lang w:val="en-US" w:eastAsia="zh-CN"/>
              </w:rPr>
              <w:t>RAN2#107</w:t>
            </w:r>
            <w:r>
              <w:rPr>
                <w:rFonts w:hint="eastAsia" w:ascii="Arial" w:hAnsi="Arial" w:eastAsia="宋体" w:cs="Arial"/>
                <w:b/>
                <w:bCs w:val="0"/>
                <w:sz w:val="20"/>
                <w:szCs w:val="22"/>
                <w:lang w:val="en-US" w:eastAsia="zh-CN"/>
              </w:rPr>
              <w:t xml:space="preserve"> </w:t>
            </w:r>
            <w:r>
              <w:rPr>
                <w:rFonts w:hint="default" w:ascii="Arial" w:hAnsi="Arial" w:eastAsia="宋体" w:cs="Arial"/>
                <w:b/>
                <w:bCs w:val="0"/>
                <w:kern w:val="0"/>
                <w:sz w:val="20"/>
                <w:szCs w:val="20"/>
                <w:lang w:val="en-US" w:eastAsia="zh-CN"/>
              </w:rPr>
              <w:t>Agreements</w:t>
            </w: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0" w:after="120"/>
              <w:textAlignment w:val="auto"/>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1</w:t>
            </w:r>
            <w:r>
              <w:rPr>
                <w:rFonts w:hint="default" w:ascii="Arial" w:hAnsi="Arial" w:eastAsia="宋体" w:cs="Arial"/>
                <w:kern w:val="0"/>
                <w:sz w:val="20"/>
                <w:szCs w:val="20"/>
                <w:lang w:val="en-US" w:eastAsia="zh-CN"/>
              </w:rPr>
              <w:tab/>
            </w:r>
            <w:r>
              <w:rPr>
                <w:rFonts w:hint="default" w:ascii="Arial" w:hAnsi="Arial" w:eastAsia="宋体" w:cs="Arial"/>
                <w:kern w:val="0"/>
                <w:sz w:val="20"/>
                <w:szCs w:val="20"/>
                <w:lang w:val="en-US" w:eastAsia="zh-CN"/>
              </w:rPr>
              <w:t>Multiple transmissions of the same TB in a bundle (e.g. MAC schedules packets in a bundle with pdsch-AggregationFactor &gt; 1 in downlink and pusch-AggregationFactor &gt; 1 in the uplink) according to NR Rel.15 are possible and might be useful to lower the residual BLER, particularly in case HARQ feedback is disabled. Enhancements, if any, are up to RAN1 to discuss.</w:t>
            </w: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0" w:after="120"/>
              <w:textAlignment w:val="auto"/>
              <w:rPr>
                <w:rFonts w:hint="default" w:ascii="Arial" w:hAnsi="Arial" w:eastAsia="宋体" w:cs="Arial"/>
                <w:kern w:val="0"/>
                <w:sz w:val="20"/>
                <w:szCs w:val="20"/>
                <w:lang w:val="en-US" w:eastAsia="zh-CN"/>
              </w:rPr>
            </w:pPr>
            <w:r>
              <w:rPr>
                <w:rFonts w:hint="default" w:ascii="Arial" w:hAnsi="Arial" w:eastAsia="宋体" w:cs="Arial"/>
                <w:kern w:val="0"/>
                <w:sz w:val="20"/>
                <w:szCs w:val="20"/>
                <w:lang w:val="en-US" w:eastAsia="zh-CN"/>
              </w:rPr>
              <w:t>2</w:t>
            </w:r>
            <w:r>
              <w:rPr>
                <w:rFonts w:hint="default" w:ascii="Arial" w:hAnsi="Arial" w:eastAsia="宋体" w:cs="Arial"/>
                <w:kern w:val="0"/>
                <w:sz w:val="20"/>
                <w:szCs w:val="20"/>
                <w:lang w:val="en-US" w:eastAsia="zh-CN"/>
              </w:rPr>
              <w:tab/>
            </w:r>
            <w:r>
              <w:rPr>
                <w:rFonts w:hint="default" w:ascii="Arial" w:hAnsi="Arial" w:eastAsia="宋体" w:cs="Arial"/>
                <w:kern w:val="0"/>
                <w:sz w:val="20"/>
                <w:szCs w:val="20"/>
                <w:lang w:val="en-US" w:eastAsia="zh-CN"/>
              </w:rPr>
              <w:t xml:space="preserve">Soft combining of multiple transmissions of the same TB in a bundle (e.g. MAC schedules packets in a bundle with pdsch-AggregationFactor &gt; 1 in downlink and pusch-AggregationFactor &gt; 1 in the uplink) according to NR Rel.15 is supported in the receiver. </w:t>
            </w: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0" w:after="120"/>
              <w:textAlignment w:val="auto"/>
              <w:rPr>
                <w:rFonts w:hint="default" w:ascii="Arial" w:hAnsi="Arial" w:eastAsia="宋体" w:cs="Arial"/>
                <w:kern w:val="0"/>
                <w:sz w:val="20"/>
                <w:szCs w:val="20"/>
                <w:lang w:val="en-US" w:eastAsia="zh-CN"/>
              </w:rPr>
            </w:pPr>
            <w:r>
              <w:rPr>
                <w:rFonts w:hint="default" w:ascii="Arial" w:hAnsi="Arial" w:eastAsia="宋体" w:cs="Arial"/>
                <w:kern w:val="0"/>
                <w:sz w:val="20"/>
                <w:szCs w:val="20"/>
                <w:lang w:val="en-US" w:eastAsia="zh-CN"/>
              </w:rPr>
              <w:t>3</w:t>
            </w:r>
            <w:r>
              <w:rPr>
                <w:rFonts w:hint="default" w:ascii="Arial" w:hAnsi="Arial" w:eastAsia="宋体" w:cs="Arial"/>
                <w:kern w:val="0"/>
                <w:sz w:val="20"/>
                <w:szCs w:val="20"/>
                <w:lang w:val="en-US" w:eastAsia="zh-CN"/>
              </w:rPr>
              <w:tab/>
            </w:r>
            <w:r>
              <w:rPr>
                <w:rFonts w:hint="default" w:ascii="Arial" w:hAnsi="Arial" w:eastAsia="宋体" w:cs="Arial"/>
                <w:kern w:val="0"/>
                <w:sz w:val="20"/>
                <w:szCs w:val="20"/>
                <w:lang w:val="en-US" w:eastAsia="zh-CN"/>
              </w:rPr>
              <w:t>Multiple transmissions of the same TB (e.g. MAC schedules the same TB on the same HARQ process without the NDI being toggled) are possible and might be useful to lower the residual BLER, particularly in case HARQ feedback is disabled. For the uplink, this behaviour can be realised within the Rel.15 specification, minor changes on the UE procedure might be needed for the downlink transmission.</w:t>
            </w: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0" w:after="120"/>
              <w:textAlignment w:val="auto"/>
              <w:rPr>
                <w:rFonts w:hint="default" w:ascii="Arial" w:hAnsi="Arial" w:eastAsia="宋体" w:cs="Arial"/>
                <w:kern w:val="0"/>
                <w:sz w:val="20"/>
                <w:szCs w:val="20"/>
                <w:lang w:val="en-US" w:eastAsia="zh-CN"/>
              </w:rPr>
            </w:pPr>
            <w:r>
              <w:rPr>
                <w:rFonts w:hint="default" w:ascii="Arial" w:hAnsi="Arial" w:eastAsia="宋体" w:cs="Arial"/>
                <w:kern w:val="0"/>
                <w:sz w:val="20"/>
                <w:szCs w:val="20"/>
                <w:lang w:val="en-US" w:eastAsia="zh-CN"/>
              </w:rPr>
              <w:t>4</w:t>
            </w:r>
            <w:r>
              <w:rPr>
                <w:rFonts w:hint="default" w:ascii="Arial" w:hAnsi="Arial" w:eastAsia="宋体" w:cs="Arial"/>
                <w:kern w:val="0"/>
                <w:sz w:val="20"/>
                <w:szCs w:val="20"/>
                <w:lang w:val="en-US" w:eastAsia="zh-CN"/>
              </w:rPr>
              <w:tab/>
            </w:r>
            <w:r>
              <w:rPr>
                <w:rFonts w:hint="default" w:ascii="Arial" w:hAnsi="Arial" w:eastAsia="宋体" w:cs="Arial"/>
                <w:kern w:val="0"/>
                <w:sz w:val="20"/>
                <w:szCs w:val="20"/>
                <w:lang w:val="en-US" w:eastAsia="zh-CN"/>
              </w:rPr>
              <w:t xml:space="preserve">Soft combining of multiple transmissions of the same TB by the MAC scheduler (e.g. MAC schedules the same TB on the same HARQ process without the NDI being toggled) according to NR Rel.15 is supported in the receiver.  </w:t>
            </w: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0" w:after="120"/>
              <w:textAlignment w:val="auto"/>
              <w:rPr>
                <w:rFonts w:hint="default" w:ascii="Arial" w:hAnsi="Arial" w:eastAsia="宋体" w:cs="Arial"/>
                <w:kern w:val="0"/>
                <w:sz w:val="20"/>
                <w:szCs w:val="20"/>
                <w:lang w:val="en-US" w:eastAsia="zh-CN"/>
              </w:rPr>
            </w:pPr>
            <w:r>
              <w:rPr>
                <w:rFonts w:hint="default" w:ascii="Arial" w:hAnsi="Arial" w:eastAsia="宋体" w:cs="Arial"/>
                <w:kern w:val="0"/>
                <w:sz w:val="20"/>
                <w:szCs w:val="20"/>
                <w:lang w:val="en-US" w:eastAsia="zh-CN"/>
              </w:rPr>
              <w:t>5</w:t>
            </w:r>
            <w:r>
              <w:rPr>
                <w:rFonts w:hint="default" w:ascii="Arial" w:hAnsi="Arial" w:eastAsia="宋体" w:cs="Arial"/>
                <w:kern w:val="0"/>
                <w:sz w:val="20"/>
                <w:szCs w:val="20"/>
                <w:lang w:val="en-US" w:eastAsia="zh-CN"/>
              </w:rPr>
              <w:tab/>
            </w:r>
            <w:r>
              <w:rPr>
                <w:rFonts w:hint="default" w:ascii="Arial" w:hAnsi="Arial" w:eastAsia="宋体" w:cs="Arial"/>
                <w:kern w:val="0"/>
                <w:sz w:val="20"/>
                <w:szCs w:val="20"/>
                <w:lang w:val="en-US" w:eastAsia="zh-CN"/>
              </w:rPr>
              <w:t xml:space="preserve">It should be possible to semi-statically enable / disable HARQ feedback by RRC signalling. </w:t>
            </w: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0" w:after="120"/>
              <w:textAlignment w:val="auto"/>
              <w:rPr>
                <w:rFonts w:hint="default" w:ascii="Arial" w:hAnsi="Arial" w:eastAsia="宋体" w:cs="Arial"/>
                <w:kern w:val="0"/>
                <w:sz w:val="20"/>
                <w:szCs w:val="20"/>
                <w:vertAlign w:val="baseline"/>
                <w:lang w:val="en-US" w:eastAsia="zh-CN"/>
              </w:rPr>
            </w:pPr>
            <w:r>
              <w:rPr>
                <w:rFonts w:hint="default" w:ascii="Arial" w:hAnsi="Arial" w:eastAsia="宋体" w:cs="Arial"/>
                <w:kern w:val="0"/>
                <w:sz w:val="20"/>
                <w:szCs w:val="20"/>
                <w:lang w:val="en-US" w:eastAsia="zh-CN"/>
              </w:rPr>
              <w:t>6</w:t>
            </w:r>
            <w:r>
              <w:rPr>
                <w:rFonts w:hint="default" w:ascii="Arial" w:hAnsi="Arial" w:eastAsia="宋体" w:cs="Arial"/>
                <w:kern w:val="0"/>
                <w:sz w:val="20"/>
                <w:szCs w:val="20"/>
                <w:lang w:val="en-US" w:eastAsia="zh-CN"/>
              </w:rPr>
              <w:tab/>
            </w:r>
            <w:r>
              <w:rPr>
                <w:rFonts w:hint="default" w:ascii="Arial" w:hAnsi="Arial" w:eastAsia="宋体" w:cs="Arial"/>
                <w:kern w:val="0"/>
                <w:sz w:val="20"/>
                <w:szCs w:val="20"/>
                <w:lang w:val="en-US" w:eastAsia="zh-CN"/>
              </w:rPr>
              <w:t xml:space="preserve">The enabling / disabling of HARQ feedback can be configurable on a per UE and per HARQ process basis via RRC signalling. </w:t>
            </w:r>
          </w:p>
        </w:tc>
      </w:tr>
    </w:tbl>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For supporting the enabling/disabling HARQ for IoT-NTN, the above agreements in NR NTN can be reused.</w:t>
      </w:r>
    </w:p>
    <w:p>
      <w:pPr>
        <w:widowControl/>
        <w:spacing w:after="180"/>
        <w:rPr>
          <w:rFonts w:hint="eastAsia"/>
          <w:lang w:val="en-GB"/>
        </w:rPr>
      </w:pPr>
      <w:r>
        <w:rPr>
          <w:rFonts w:hint="eastAsia" w:ascii="Arial" w:hAnsi="Arial" w:eastAsia="宋体" w:cs="Arial"/>
          <w:b/>
          <w:bCs/>
          <w:kern w:val="0"/>
          <w:sz w:val="20"/>
          <w:szCs w:val="20"/>
          <w:lang w:val="en-US" w:eastAsia="zh-CN"/>
        </w:rPr>
        <w:t>Proposal 1: RAN2 reuses the conclusions for NR NTN to support the enabling/disabling HARQ for IoT-NTN.</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 xml:space="preserve">Here are the proposals for </w:t>
      </w:r>
      <w:r>
        <w:rPr>
          <w:rFonts w:hint="eastAsia" w:ascii="Arial" w:hAnsi="Arial" w:eastAsia="宋体" w:cs="Arial"/>
          <w:kern w:val="0"/>
          <w:sz w:val="20"/>
          <w:szCs w:val="20"/>
          <w:lang w:val="en-US" w:eastAsia="zh-CN"/>
        </w:rPr>
        <w:t xml:space="preserve">performance </w:t>
      </w:r>
      <w:r>
        <w:rPr>
          <w:rFonts w:ascii="Arial" w:hAnsi="Arial" w:eastAsia="宋体" w:cs="Arial"/>
          <w:kern w:val="0"/>
          <w:sz w:val="20"/>
          <w:szCs w:val="20"/>
          <w:lang w:val="en-GB" w:eastAsia="en-US"/>
        </w:rPr>
        <w:t>enhancement</w:t>
      </w:r>
      <w:r>
        <w:rPr>
          <w:rFonts w:hint="eastAsia" w:ascii="Arial" w:hAnsi="Arial" w:eastAsia="宋体" w:cs="Arial"/>
          <w:kern w:val="0"/>
          <w:sz w:val="20"/>
          <w:szCs w:val="20"/>
          <w:lang w:val="en-US" w:eastAsia="zh-CN"/>
        </w:rPr>
        <w:t>s for IoT-NTN</w:t>
      </w:r>
      <w:r>
        <w:rPr>
          <w:rFonts w:ascii="Arial" w:hAnsi="Arial" w:eastAsia="宋体" w:cs="Arial"/>
          <w:kern w:val="0"/>
          <w:sz w:val="20"/>
          <w:szCs w:val="20"/>
          <w:lang w:val="en-GB" w:eastAsia="en-US"/>
        </w:rPr>
        <w:t>.</w:t>
      </w:r>
    </w:p>
    <w:p>
      <w:pPr>
        <w:widowControl/>
        <w:spacing w:after="180"/>
        <w:rPr>
          <w:rFonts w:ascii="Arial" w:hAnsi="Arial" w:eastAsia="宋体" w:cs="Arial"/>
          <w:kern w:val="0"/>
          <w:sz w:val="20"/>
          <w:szCs w:val="20"/>
          <w:lang w:val="en-GB" w:eastAsia="en-US"/>
        </w:rPr>
      </w:pPr>
      <w:r>
        <w:rPr>
          <w:rFonts w:hint="eastAsia" w:ascii="Arial" w:hAnsi="Arial" w:eastAsia="宋体" w:cs="Arial"/>
          <w:b/>
          <w:bCs/>
          <w:kern w:val="0"/>
          <w:sz w:val="20"/>
          <w:szCs w:val="20"/>
          <w:lang w:val="en-US" w:eastAsia="zh-CN"/>
        </w:rPr>
        <w:t>Proposal 1: RAN2 reuses the conclusions for NR NTN to support the enabling/disabling HARQ for IoT-NTN.</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4"/>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ascii="Arial" w:hAnsi="Arial" w:eastAsia="宋体" w:cs="Arial"/>
          <w:kern w:val="0"/>
          <w:sz w:val="20"/>
          <w:szCs w:val="20"/>
          <w:lang w:val="en-GB" w:eastAsia="en-US"/>
        </w:rPr>
        <w:t>RP-221</w:t>
      </w:r>
      <w:r>
        <w:rPr>
          <w:rFonts w:hint="eastAsia" w:ascii="Arial" w:hAnsi="Arial" w:eastAsia="宋体" w:cs="Arial"/>
          <w:kern w:val="0"/>
          <w:sz w:val="20"/>
          <w:szCs w:val="20"/>
          <w:lang w:val="en-US" w:eastAsia="zh-CN"/>
        </w:rPr>
        <w:t>806</w:t>
      </w:r>
      <w:r>
        <w:rPr>
          <w:rFonts w:ascii="Arial" w:hAnsi="Arial" w:eastAsia="宋体" w:cs="Arial"/>
          <w:kern w:val="0"/>
          <w:sz w:val="20"/>
          <w:szCs w:val="20"/>
          <w:lang w:val="en-GB" w:eastAsia="en-US"/>
        </w:rPr>
        <w:t xml:space="preserve">, Revised </w:t>
      </w:r>
      <w:r>
        <w:rPr>
          <w:rFonts w:hint="eastAsia" w:ascii="Arial" w:hAnsi="Arial" w:eastAsia="宋体" w:cs="Arial"/>
          <w:kern w:val="0"/>
          <w:sz w:val="20"/>
          <w:szCs w:val="20"/>
          <w:lang w:val="en-GB" w:eastAsia="en-US"/>
        </w:rPr>
        <w:t>WID on IoT NTN enhancements</w:t>
      </w:r>
    </w:p>
    <w:p>
      <w:pPr>
        <w:rPr>
          <w:lang w:val="en-GB"/>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807F16"/>
    <w:multiLevelType w:val="multilevel"/>
    <w:tmpl w:val="11807F16"/>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o"/>
      <w:lvlJc w:val="left"/>
      <w:pPr>
        <w:ind w:left="1639" w:hanging="420"/>
      </w:pPr>
      <w:rPr>
        <w:rFonts w:hint="default" w:ascii="Courier New" w:hAnsi="Courier New" w:cs="Courier New"/>
      </w:rPr>
    </w:lvl>
    <w:lvl w:ilvl="2" w:tentative="0">
      <w:start w:val="0"/>
      <w:numFmt w:val="bullet"/>
      <w:lvlText w:val="-"/>
      <w:lvlJc w:val="left"/>
      <w:pPr>
        <w:ind w:left="2059" w:hanging="420"/>
      </w:pPr>
      <w:rPr>
        <w:rFonts w:hint="default" w:ascii="Times" w:hAnsi="Times" w:eastAsia="Batang" w:cs="Time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1">
    <w:nsid w:val="2DCAA566"/>
    <w:multiLevelType w:val="singleLevel"/>
    <w:tmpl w:val="2DCAA566"/>
    <w:lvl w:ilvl="0" w:tentative="0">
      <w:start w:val="2"/>
      <w:numFmt w:val="decimal"/>
      <w:lvlText w:val="%1"/>
      <w:lvlJc w:val="left"/>
    </w:lvl>
  </w:abstractNum>
  <w:abstractNum w:abstractNumId="2">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4DF874E4"/>
    <w:multiLevelType w:val="multilevel"/>
    <w:tmpl w:val="4DF874E4"/>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5A3"/>
    <w:rsid w:val="00016606"/>
    <w:rsid w:val="000172B0"/>
    <w:rsid w:val="00044F6A"/>
    <w:rsid w:val="00047DFF"/>
    <w:rsid w:val="00065420"/>
    <w:rsid w:val="00077D54"/>
    <w:rsid w:val="000A4474"/>
    <w:rsid w:val="000C2C09"/>
    <w:rsid w:val="000D5C94"/>
    <w:rsid w:val="000E0483"/>
    <w:rsid w:val="000F0EDC"/>
    <w:rsid w:val="000F3D5A"/>
    <w:rsid w:val="00196A53"/>
    <w:rsid w:val="001E2496"/>
    <w:rsid w:val="001F7978"/>
    <w:rsid w:val="002215C2"/>
    <w:rsid w:val="00225D63"/>
    <w:rsid w:val="00234354"/>
    <w:rsid w:val="002650A3"/>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B509A"/>
    <w:rsid w:val="004E4DAD"/>
    <w:rsid w:val="005075A3"/>
    <w:rsid w:val="00523942"/>
    <w:rsid w:val="00525BBB"/>
    <w:rsid w:val="005C3989"/>
    <w:rsid w:val="005E7E07"/>
    <w:rsid w:val="006100C7"/>
    <w:rsid w:val="00610B28"/>
    <w:rsid w:val="006743B8"/>
    <w:rsid w:val="00680623"/>
    <w:rsid w:val="006A4FB5"/>
    <w:rsid w:val="006B0BFB"/>
    <w:rsid w:val="006D1DA8"/>
    <w:rsid w:val="0074611C"/>
    <w:rsid w:val="007A2ADF"/>
    <w:rsid w:val="007B28E6"/>
    <w:rsid w:val="007E3904"/>
    <w:rsid w:val="00843904"/>
    <w:rsid w:val="00894A29"/>
    <w:rsid w:val="008A5A0B"/>
    <w:rsid w:val="008D110D"/>
    <w:rsid w:val="008E4F97"/>
    <w:rsid w:val="00940BA3"/>
    <w:rsid w:val="00950D36"/>
    <w:rsid w:val="00956A27"/>
    <w:rsid w:val="00982B04"/>
    <w:rsid w:val="009924F0"/>
    <w:rsid w:val="009D3F27"/>
    <w:rsid w:val="009E36A7"/>
    <w:rsid w:val="009E6BC9"/>
    <w:rsid w:val="00A350C4"/>
    <w:rsid w:val="00AC3458"/>
    <w:rsid w:val="00AD67D5"/>
    <w:rsid w:val="00AD727F"/>
    <w:rsid w:val="00B24F10"/>
    <w:rsid w:val="00B73C33"/>
    <w:rsid w:val="00B846FB"/>
    <w:rsid w:val="00B84BEF"/>
    <w:rsid w:val="00BB6E56"/>
    <w:rsid w:val="00C03FFA"/>
    <w:rsid w:val="00C12245"/>
    <w:rsid w:val="00C53226"/>
    <w:rsid w:val="00C95F8C"/>
    <w:rsid w:val="00CD18ED"/>
    <w:rsid w:val="00CF2DAA"/>
    <w:rsid w:val="00D66BFB"/>
    <w:rsid w:val="00D9059D"/>
    <w:rsid w:val="00DA12B1"/>
    <w:rsid w:val="00DA6656"/>
    <w:rsid w:val="00DE5620"/>
    <w:rsid w:val="00E513DD"/>
    <w:rsid w:val="00E82408"/>
    <w:rsid w:val="00ED765C"/>
    <w:rsid w:val="00EF5EE1"/>
    <w:rsid w:val="00F02DFE"/>
    <w:rsid w:val="00F05AB0"/>
    <w:rsid w:val="00F0760F"/>
    <w:rsid w:val="00F33D13"/>
    <w:rsid w:val="00F47D8B"/>
    <w:rsid w:val="00F627D0"/>
    <w:rsid w:val="00F841B6"/>
    <w:rsid w:val="00F92EA1"/>
    <w:rsid w:val="01041DE1"/>
    <w:rsid w:val="038A1F16"/>
    <w:rsid w:val="04A37BF0"/>
    <w:rsid w:val="094470AB"/>
    <w:rsid w:val="0A1469F1"/>
    <w:rsid w:val="0A173D8A"/>
    <w:rsid w:val="0CC05689"/>
    <w:rsid w:val="0CD5224C"/>
    <w:rsid w:val="0D771EA7"/>
    <w:rsid w:val="110171B2"/>
    <w:rsid w:val="123900DB"/>
    <w:rsid w:val="13392934"/>
    <w:rsid w:val="14E836E8"/>
    <w:rsid w:val="15BE553B"/>
    <w:rsid w:val="161147C5"/>
    <w:rsid w:val="16A3322F"/>
    <w:rsid w:val="17CD5A7B"/>
    <w:rsid w:val="187A66B9"/>
    <w:rsid w:val="1DE55E1B"/>
    <w:rsid w:val="20F63843"/>
    <w:rsid w:val="22B32E1B"/>
    <w:rsid w:val="2B4D1216"/>
    <w:rsid w:val="36F84B57"/>
    <w:rsid w:val="38FC32F5"/>
    <w:rsid w:val="39030A9D"/>
    <w:rsid w:val="3CA66A58"/>
    <w:rsid w:val="3D5B3EF0"/>
    <w:rsid w:val="3ECD0998"/>
    <w:rsid w:val="3ED508CA"/>
    <w:rsid w:val="3FA42170"/>
    <w:rsid w:val="3FAF36DB"/>
    <w:rsid w:val="406A14B3"/>
    <w:rsid w:val="43146FF6"/>
    <w:rsid w:val="433204F8"/>
    <w:rsid w:val="44F46625"/>
    <w:rsid w:val="4599227F"/>
    <w:rsid w:val="45EA2721"/>
    <w:rsid w:val="46FE4C6E"/>
    <w:rsid w:val="47C04462"/>
    <w:rsid w:val="47DB6ABB"/>
    <w:rsid w:val="49A97E85"/>
    <w:rsid w:val="51CC648B"/>
    <w:rsid w:val="528B1069"/>
    <w:rsid w:val="53D170F4"/>
    <w:rsid w:val="56581D59"/>
    <w:rsid w:val="58AB4E89"/>
    <w:rsid w:val="5A2F5AF5"/>
    <w:rsid w:val="5AFF7905"/>
    <w:rsid w:val="5B492C91"/>
    <w:rsid w:val="5F2F6349"/>
    <w:rsid w:val="5F600D4E"/>
    <w:rsid w:val="660E4242"/>
    <w:rsid w:val="677038E2"/>
    <w:rsid w:val="69293200"/>
    <w:rsid w:val="694347AF"/>
    <w:rsid w:val="694F06EB"/>
    <w:rsid w:val="6BE35659"/>
    <w:rsid w:val="6E083615"/>
    <w:rsid w:val="6E6F0BB4"/>
    <w:rsid w:val="732872C5"/>
    <w:rsid w:val="79C61A14"/>
    <w:rsid w:val="7C4E5B9F"/>
    <w:rsid w:val="7E886BD8"/>
    <w:rsid w:val="7F7A668F"/>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List"/>
    <w:basedOn w:val="1"/>
    <w:qFormat/>
    <w:uiPriority w:val="0"/>
    <w:pPr>
      <w:ind w:left="568" w:hanging="284"/>
    </w:pPr>
  </w:style>
  <w:style w:type="table" w:styleId="6">
    <w:name w:val="Table Grid"/>
    <w:basedOn w:val="5"/>
    <w:qFormat/>
    <w:uiPriority w:val="0"/>
    <w:pPr>
      <w:widowControl/>
      <w:jc w:val="left"/>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qFormat/>
    <w:uiPriority w:val="99"/>
    <w:rPr>
      <w:color w:val="0000FF"/>
      <w:u w:val="single"/>
    </w:rPr>
  </w:style>
  <w:style w:type="character" w:customStyle="1" w:styleId="9">
    <w:name w:val="页眉 字符"/>
    <w:basedOn w:val="7"/>
    <w:link w:val="3"/>
    <w:qFormat/>
    <w:uiPriority w:val="99"/>
    <w:rPr>
      <w:sz w:val="18"/>
      <w:szCs w:val="18"/>
    </w:rPr>
  </w:style>
  <w:style w:type="character" w:customStyle="1" w:styleId="10">
    <w:name w:val="页脚 字符"/>
    <w:basedOn w:val="7"/>
    <w:link w:val="2"/>
    <w:qFormat/>
    <w:uiPriority w:val="99"/>
    <w:rPr>
      <w:sz w:val="18"/>
      <w:szCs w:val="18"/>
    </w:rPr>
  </w:style>
  <w:style w:type="paragraph" w:customStyle="1" w:styleId="11">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12">
    <w:name w:val="TF"/>
    <w:basedOn w:val="11"/>
    <w:qFormat/>
    <w:uiPriority w:val="0"/>
    <w:pPr>
      <w:keepNext w:val="0"/>
      <w:spacing w:before="0" w:after="240"/>
    </w:pPr>
  </w:style>
  <w:style w:type="paragraph" w:styleId="13">
    <w:name w:val="List Paragraph"/>
    <w:basedOn w:val="1"/>
    <w:qFormat/>
    <w:uiPriority w:val="34"/>
    <w:pPr>
      <w:ind w:firstLine="420" w:firstLineChars="200"/>
    </w:pPr>
  </w:style>
  <w:style w:type="paragraph" w:customStyle="1" w:styleId="14">
    <w:name w:val="B1"/>
    <w:basedOn w:val="4"/>
    <w:qFormat/>
    <w:uiPriority w:val="0"/>
  </w:style>
  <w:style w:type="paragraph" w:customStyle="1" w:styleId="15">
    <w:name w:val="Doc-text2"/>
    <w:basedOn w:val="1"/>
    <w:qFormat/>
    <w:uiPriority w:val="0"/>
    <w:pPr>
      <w:tabs>
        <w:tab w:val="left" w:pos="1622"/>
      </w:tabs>
      <w:overflowPunct/>
      <w:autoSpaceDE/>
      <w:spacing w:before="0" w:after="0"/>
      <w:ind w:left="1622" w:right="0" w:hanging="363"/>
      <w:jc w:val="left"/>
      <w:textAlignment w:val="auto"/>
    </w:pPr>
    <w:rPr>
      <w:rFonts w:eastAsia="MS Mincho"/>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1584</Words>
  <Characters>9033</Characters>
  <Lines>75</Lines>
  <Paragraphs>21</Paragraphs>
  <TotalTime>2</TotalTime>
  <ScaleCrop>false</ScaleCrop>
  <LinksUpToDate>false</LinksUpToDate>
  <CharactersWithSpaces>10596</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2022-08-03T06:38:00Z</dcterms:created>
  <dc:creator>CMCC_TJY</dc:creator>
  <cp:lastModifiedBy>cmcc</cp:lastModifiedBy>
  <dcterms:modified xsi:type="dcterms:W3CDTF">2022-08-10T07:24:36Z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C0B14E931CDC48A686417606E6B8A8FB</vt:lpwstr>
  </property>
</Properties>
</file>